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62E43" w14:textId="77777777" w:rsidR="00DB62C7" w:rsidRDefault="00DB62C7" w:rsidP="001F31A0">
      <w:pPr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</w:p>
    <w:p w14:paraId="3F59A4D2" w14:textId="77777777" w:rsidR="00DB62C7" w:rsidRDefault="00DB62C7" w:rsidP="001F31A0">
      <w:pPr>
        <w:jc w:val="center"/>
        <w:rPr>
          <w:rFonts w:ascii="Arial" w:hAnsi="Arial" w:cs="Arial"/>
          <w:b/>
          <w:sz w:val="28"/>
        </w:rPr>
      </w:pPr>
    </w:p>
    <w:p w14:paraId="6D14D604" w14:textId="77777777" w:rsidR="001F31A0" w:rsidRDefault="001F31A0" w:rsidP="001F31A0">
      <w:pPr>
        <w:jc w:val="center"/>
        <w:rPr>
          <w:rFonts w:ascii="Arial" w:hAnsi="Arial" w:cs="Arial"/>
          <w:b/>
          <w:sz w:val="28"/>
        </w:rPr>
      </w:pPr>
      <w:r w:rsidRPr="001F31A0">
        <w:rPr>
          <w:rFonts w:ascii="Arial" w:hAnsi="Arial" w:cs="Arial"/>
          <w:b/>
          <w:sz w:val="28"/>
        </w:rPr>
        <w:t xml:space="preserve">Modello </w:t>
      </w:r>
      <w:r w:rsidR="00A21246">
        <w:rPr>
          <w:rFonts w:ascii="Arial" w:hAnsi="Arial" w:cs="Arial"/>
          <w:b/>
          <w:sz w:val="28"/>
        </w:rPr>
        <w:t>di</w:t>
      </w:r>
      <w:r w:rsidRPr="001F31A0">
        <w:rPr>
          <w:rFonts w:ascii="Arial" w:hAnsi="Arial" w:cs="Arial"/>
          <w:b/>
          <w:sz w:val="28"/>
        </w:rPr>
        <w:t xml:space="preserve"> </w:t>
      </w:r>
      <w:r w:rsidR="00835D52" w:rsidRPr="001F31A0">
        <w:rPr>
          <w:rFonts w:ascii="Arial" w:hAnsi="Arial" w:cs="Arial"/>
          <w:b/>
          <w:sz w:val="28"/>
        </w:rPr>
        <w:t xml:space="preserve">Parere </w:t>
      </w:r>
      <w:r w:rsidRPr="001F31A0">
        <w:rPr>
          <w:rFonts w:ascii="Arial" w:hAnsi="Arial" w:cs="Arial"/>
          <w:b/>
          <w:sz w:val="28"/>
        </w:rPr>
        <w:t>di audit</w:t>
      </w:r>
      <w:r>
        <w:rPr>
          <w:rFonts w:ascii="Arial" w:hAnsi="Arial" w:cs="Arial"/>
          <w:b/>
          <w:sz w:val="28"/>
        </w:rPr>
        <w:t xml:space="preserve"> </w:t>
      </w:r>
      <w:r w:rsidR="00536246">
        <w:rPr>
          <w:rFonts w:ascii="Arial" w:hAnsi="Arial" w:cs="Arial"/>
          <w:b/>
          <w:sz w:val="28"/>
        </w:rPr>
        <w:t>per il primo anno contabile</w:t>
      </w:r>
    </w:p>
    <w:p w14:paraId="53634D77" w14:textId="77777777" w:rsidR="001F31A0" w:rsidRDefault="009A0DBB" w:rsidP="009A0DBB">
      <w:pPr>
        <w:jc w:val="center"/>
        <w:rPr>
          <w:rFonts w:ascii="Arial" w:hAnsi="Arial" w:cs="Arial"/>
          <w:b/>
          <w:smallCaps/>
        </w:rPr>
      </w:pPr>
      <w:r w:rsidRPr="009A0DBB">
        <w:rPr>
          <w:rFonts w:ascii="Arial" w:hAnsi="Arial" w:cs="Arial"/>
          <w:b/>
          <w:sz w:val="28"/>
        </w:rPr>
        <w:t>(Disclaimer)</w:t>
      </w:r>
    </w:p>
    <w:p w14:paraId="239FAB5E" w14:textId="77777777" w:rsidR="001F31A0" w:rsidRDefault="001F31A0" w:rsidP="001F31A0">
      <w:pPr>
        <w:ind w:firstLine="6096"/>
        <w:jc w:val="right"/>
        <w:rPr>
          <w:rFonts w:ascii="Arial" w:hAnsi="Arial" w:cs="Arial"/>
          <w:b/>
          <w:smallCaps/>
        </w:rPr>
      </w:pPr>
    </w:p>
    <w:p w14:paraId="3F7E0685" w14:textId="77777777" w:rsidR="001F31A0" w:rsidRPr="001F31A0" w:rsidRDefault="001F31A0" w:rsidP="001F31A0">
      <w:pPr>
        <w:ind w:firstLine="6096"/>
        <w:jc w:val="right"/>
        <w:rPr>
          <w:rFonts w:ascii="Arial" w:hAnsi="Arial" w:cs="Arial"/>
          <w:b/>
          <w:smallCaps/>
        </w:rPr>
      </w:pPr>
      <w:r w:rsidRPr="001F31A0">
        <w:rPr>
          <w:rFonts w:ascii="Arial" w:hAnsi="Arial" w:cs="Arial"/>
          <w:b/>
          <w:smallCaps/>
        </w:rPr>
        <w:t xml:space="preserve">Alla Commissione europea, Direzione Generale............. </w:t>
      </w:r>
    </w:p>
    <w:p w14:paraId="60CD0032" w14:textId="77777777" w:rsidR="001F31A0" w:rsidRPr="001F31A0" w:rsidRDefault="00CE1EF1" w:rsidP="001F31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 INTRODUZIONE</w:t>
      </w:r>
    </w:p>
    <w:p w14:paraId="338D5CE0" w14:textId="77777777" w:rsidR="001F31A0" w:rsidRDefault="001F31A0" w:rsidP="001F31A0">
      <w:pPr>
        <w:jc w:val="both"/>
        <w:rPr>
          <w:rFonts w:ascii="Arial" w:hAnsi="Arial" w:cs="Arial"/>
        </w:rPr>
      </w:pPr>
      <w:r w:rsidRPr="001F31A0">
        <w:rPr>
          <w:rFonts w:ascii="Arial" w:hAnsi="Arial" w:cs="Arial"/>
        </w:rPr>
        <w:t xml:space="preserve">Il sottoscritto, in rappresentanza di  </w:t>
      </w:r>
      <w:r w:rsidRPr="001F776E">
        <w:rPr>
          <w:rFonts w:ascii="Arial" w:hAnsi="Arial" w:cs="Arial"/>
          <w:color w:val="0070C0"/>
        </w:rPr>
        <w:t>............................[</w:t>
      </w:r>
      <w:r w:rsidRPr="00040AC1">
        <w:rPr>
          <w:rFonts w:ascii="Arial" w:hAnsi="Arial" w:cs="Arial"/>
          <w:i/>
          <w:color w:val="0070C0"/>
        </w:rPr>
        <w:t>nome dell'</w:t>
      </w:r>
      <w:r w:rsidR="001C593D" w:rsidRPr="00040AC1">
        <w:rPr>
          <w:rFonts w:ascii="Arial" w:hAnsi="Arial" w:cs="Arial"/>
          <w:i/>
          <w:color w:val="0070C0"/>
        </w:rPr>
        <w:t>A</w:t>
      </w:r>
      <w:r w:rsidRPr="00040AC1">
        <w:rPr>
          <w:rFonts w:ascii="Arial" w:hAnsi="Arial" w:cs="Arial"/>
          <w:i/>
          <w:color w:val="0070C0"/>
        </w:rPr>
        <w:t>utorità di audit designata dallo Stato membro]</w:t>
      </w:r>
      <w:r w:rsidRPr="001F31A0">
        <w:rPr>
          <w:rFonts w:ascii="Arial" w:hAnsi="Arial" w:cs="Arial"/>
        </w:rPr>
        <w:t xml:space="preserve">, indipendente  ai sensi dell'articolo  123, paragrafo 4 [e  5, se del caso] del </w:t>
      </w:r>
      <w:r>
        <w:rPr>
          <w:rFonts w:ascii="Arial" w:hAnsi="Arial" w:cs="Arial"/>
        </w:rPr>
        <w:t xml:space="preserve"> </w:t>
      </w:r>
      <w:r w:rsidRPr="001F31A0">
        <w:rPr>
          <w:rFonts w:ascii="Arial" w:hAnsi="Arial" w:cs="Arial"/>
        </w:rPr>
        <w:t xml:space="preserve">regolamento (UE)  n. 1303/2013, </w:t>
      </w:r>
      <w:r w:rsidR="007741E7" w:rsidRPr="001F776E">
        <w:rPr>
          <w:rFonts w:ascii="Arial" w:hAnsi="Arial" w:cs="Arial"/>
        </w:rPr>
        <w:t xml:space="preserve">non è stato in grado di verificare </w:t>
      </w:r>
      <w:r w:rsidR="002710BD" w:rsidRPr="002710BD">
        <w:rPr>
          <w:rFonts w:ascii="Arial" w:hAnsi="Arial" w:cs="Arial"/>
        </w:rPr>
        <w:t xml:space="preserve">i conti del </w:t>
      </w:r>
      <w:r w:rsidRPr="001F31A0">
        <w:rPr>
          <w:rFonts w:ascii="Arial" w:hAnsi="Arial" w:cs="Arial"/>
        </w:rPr>
        <w:t xml:space="preserve">periodo contabile iniziato il </w:t>
      </w:r>
      <w:r w:rsidRPr="00A63097">
        <w:rPr>
          <w:rFonts w:ascii="Arial" w:hAnsi="Arial" w:cs="Arial"/>
          <w:b/>
        </w:rPr>
        <w:t>1° gennaio  2014 e terminato il 30 giugno 2015</w:t>
      </w:r>
      <w:r w:rsidRPr="001F31A0">
        <w:rPr>
          <w:rFonts w:ascii="Arial" w:hAnsi="Arial" w:cs="Arial"/>
        </w:rPr>
        <w:t xml:space="preserve">  (di seguito «i conti»), la legalità e la regolarità delle spese con riferimento al </w:t>
      </w:r>
      <w:r w:rsidR="001F776E">
        <w:rPr>
          <w:rFonts w:ascii="Arial" w:hAnsi="Arial" w:cs="Arial"/>
        </w:rPr>
        <w:t xml:space="preserve">primo </w:t>
      </w:r>
      <w:r w:rsidRPr="001F31A0">
        <w:rPr>
          <w:rFonts w:ascii="Arial" w:hAnsi="Arial" w:cs="Arial"/>
        </w:rPr>
        <w:t>periodo  contabile</w:t>
      </w:r>
      <w:r>
        <w:rPr>
          <w:rFonts w:ascii="Arial" w:hAnsi="Arial" w:cs="Arial"/>
        </w:rPr>
        <w:t>, il  funzio</w:t>
      </w:r>
      <w:r w:rsidRPr="001F31A0">
        <w:rPr>
          <w:rFonts w:ascii="Arial" w:hAnsi="Arial" w:cs="Arial"/>
        </w:rPr>
        <w:t xml:space="preserve">namento del sistema di gestione e controllo, e </w:t>
      </w:r>
      <w:r w:rsidR="001E5422" w:rsidRPr="00A63097">
        <w:rPr>
          <w:rFonts w:ascii="Arial" w:hAnsi="Arial" w:cs="Arial"/>
        </w:rPr>
        <w:t xml:space="preserve">non </w:t>
      </w:r>
      <w:r w:rsidRPr="001F31A0">
        <w:rPr>
          <w:rFonts w:ascii="Arial" w:hAnsi="Arial" w:cs="Arial"/>
        </w:rPr>
        <w:t>ha verificato la dichiarazione di affidabil</w:t>
      </w:r>
      <w:r>
        <w:rPr>
          <w:rFonts w:ascii="Arial" w:hAnsi="Arial" w:cs="Arial"/>
        </w:rPr>
        <w:t>ità di gestione ai fini dell'ar</w:t>
      </w:r>
      <w:r w:rsidRPr="001F31A0">
        <w:rPr>
          <w:rFonts w:ascii="Arial" w:hAnsi="Arial" w:cs="Arial"/>
        </w:rPr>
        <w:t>ticolo 59, paragrafo 5, lettera b), del regolamento (UE; EURATOM) n. 966/2012 in relazione al programma operativo  ............................</w:t>
      </w:r>
      <w:r w:rsidR="001C593D" w:rsidRPr="00040AC1">
        <w:rPr>
          <w:rFonts w:ascii="Arial" w:hAnsi="Arial" w:cs="Arial"/>
          <w:i/>
          <w:color w:val="0070C0"/>
        </w:rPr>
        <w:t>[titolo del P</w:t>
      </w:r>
      <w:r w:rsidRPr="00040AC1">
        <w:rPr>
          <w:rFonts w:ascii="Arial" w:hAnsi="Arial" w:cs="Arial"/>
          <w:i/>
          <w:color w:val="0070C0"/>
        </w:rPr>
        <w:t xml:space="preserve">rogramma operativo, numero CCI] </w:t>
      </w:r>
      <w:r w:rsidRPr="001F31A0">
        <w:rPr>
          <w:rFonts w:ascii="Arial" w:hAnsi="Arial" w:cs="Arial"/>
        </w:rPr>
        <w:t xml:space="preserve">(di seguito «il programma»), </w:t>
      </w:r>
      <w:r w:rsidR="001E5422" w:rsidRPr="001F776E">
        <w:rPr>
          <w:rFonts w:ascii="Arial" w:hAnsi="Arial" w:cs="Arial"/>
        </w:rPr>
        <w:t xml:space="preserve">ai fini dell’emissione di </w:t>
      </w:r>
      <w:r w:rsidRPr="001F31A0">
        <w:rPr>
          <w:rFonts w:ascii="Arial" w:hAnsi="Arial" w:cs="Arial"/>
        </w:rPr>
        <w:t xml:space="preserve">un parere di audit ai sensi dell'articolo  127, paragrafo 5, lettera  a), del regolamento (UE) n. 1303/2013. </w:t>
      </w:r>
    </w:p>
    <w:p w14:paraId="5130C7A1" w14:textId="77777777" w:rsidR="001F31A0" w:rsidRPr="00E4143D" w:rsidRDefault="001F31A0" w:rsidP="001F31A0">
      <w:pPr>
        <w:rPr>
          <w:rFonts w:ascii="Arial" w:hAnsi="Arial" w:cs="Arial"/>
          <w:b/>
          <w:i/>
        </w:rPr>
      </w:pPr>
      <w:r w:rsidRPr="001F31A0">
        <w:rPr>
          <w:rFonts w:ascii="Arial" w:hAnsi="Arial" w:cs="Arial"/>
          <w:b/>
        </w:rPr>
        <w:t xml:space="preserve">2. </w:t>
      </w:r>
      <w:r w:rsidRPr="00E4143D">
        <w:rPr>
          <w:rFonts w:ascii="Arial" w:hAnsi="Arial" w:cs="Arial"/>
          <w:b/>
          <w:i/>
        </w:rPr>
        <w:t xml:space="preserve">RESPONSABILITÀ DELLE AUTORITÀ DI GESTIONE E DI CERTIFICAZIONE </w:t>
      </w:r>
    </w:p>
    <w:p w14:paraId="5767458D" w14:textId="77777777" w:rsidR="000B50A5" w:rsidRPr="00040AC1" w:rsidRDefault="001F31A0" w:rsidP="001F31A0">
      <w:pPr>
        <w:jc w:val="both"/>
        <w:rPr>
          <w:rFonts w:ascii="Arial" w:hAnsi="Arial" w:cs="Arial"/>
        </w:rPr>
      </w:pPr>
      <w:r w:rsidRPr="00040AC1">
        <w:rPr>
          <w:rFonts w:ascii="Arial" w:hAnsi="Arial" w:cs="Arial"/>
        </w:rPr>
        <w:t>...........................................................</w:t>
      </w:r>
      <w:r w:rsidRPr="00040AC1">
        <w:rPr>
          <w:rFonts w:ascii="Arial" w:hAnsi="Arial" w:cs="Arial"/>
          <w:color w:val="0070C0"/>
        </w:rPr>
        <w:t>[nome dell'</w:t>
      </w:r>
      <w:r w:rsidR="001C593D" w:rsidRPr="00040AC1">
        <w:rPr>
          <w:rFonts w:ascii="Arial" w:hAnsi="Arial" w:cs="Arial"/>
          <w:color w:val="0070C0"/>
        </w:rPr>
        <w:t>A</w:t>
      </w:r>
      <w:r w:rsidRPr="00040AC1">
        <w:rPr>
          <w:rFonts w:ascii="Arial" w:hAnsi="Arial" w:cs="Arial"/>
          <w:color w:val="0070C0"/>
        </w:rPr>
        <w:t xml:space="preserve">utorità di gestione], </w:t>
      </w:r>
      <w:r w:rsidRPr="00040AC1">
        <w:rPr>
          <w:rFonts w:ascii="Arial" w:hAnsi="Arial" w:cs="Arial"/>
        </w:rPr>
        <w:t>designata quale autorità di gestione del programma</w:t>
      </w:r>
      <w:r w:rsidR="000B50A5" w:rsidRPr="00040AC1">
        <w:rPr>
          <w:rFonts w:ascii="Arial" w:hAnsi="Arial" w:cs="Arial"/>
        </w:rPr>
        <w:t xml:space="preserve"> e</w:t>
      </w:r>
      <w:r w:rsidRPr="00040AC1">
        <w:rPr>
          <w:rFonts w:ascii="Arial" w:hAnsi="Arial" w:cs="Arial"/>
        </w:rPr>
        <w:t xml:space="preserve"> </w:t>
      </w:r>
    </w:p>
    <w:p w14:paraId="2FE418CD" w14:textId="77777777" w:rsidR="000B50A5" w:rsidRPr="00040AC1" w:rsidRDefault="001F31A0" w:rsidP="001F31A0">
      <w:pPr>
        <w:jc w:val="both"/>
        <w:rPr>
          <w:rFonts w:ascii="Arial" w:hAnsi="Arial" w:cs="Arial"/>
        </w:rPr>
      </w:pPr>
      <w:r w:rsidRPr="00E4143D">
        <w:rPr>
          <w:rFonts w:ascii="Arial" w:hAnsi="Arial" w:cs="Arial"/>
          <w:i/>
        </w:rPr>
        <w:t>...........................</w:t>
      </w:r>
      <w:r w:rsidRPr="00A63097">
        <w:rPr>
          <w:rFonts w:ascii="Arial" w:hAnsi="Arial" w:cs="Arial"/>
          <w:i/>
          <w:color w:val="0070C0"/>
        </w:rPr>
        <w:t>[nome dell'</w:t>
      </w:r>
      <w:r w:rsidR="001C593D">
        <w:rPr>
          <w:rFonts w:ascii="Arial" w:hAnsi="Arial" w:cs="Arial"/>
          <w:i/>
          <w:color w:val="0070C0"/>
        </w:rPr>
        <w:t>A</w:t>
      </w:r>
      <w:r w:rsidRPr="00A63097">
        <w:rPr>
          <w:rFonts w:ascii="Arial" w:hAnsi="Arial" w:cs="Arial"/>
          <w:i/>
          <w:color w:val="0070C0"/>
        </w:rPr>
        <w:t>utorità di certificazione]</w:t>
      </w:r>
      <w:r w:rsidRPr="00E4143D">
        <w:rPr>
          <w:rFonts w:ascii="Arial" w:hAnsi="Arial" w:cs="Arial"/>
          <w:i/>
        </w:rPr>
        <w:t xml:space="preserve">, </w:t>
      </w:r>
      <w:r w:rsidRPr="00040AC1">
        <w:rPr>
          <w:rFonts w:ascii="Arial" w:hAnsi="Arial" w:cs="Arial"/>
        </w:rPr>
        <w:t xml:space="preserve">designata come autorità di certificazione del programma, </w:t>
      </w:r>
    </w:p>
    <w:p w14:paraId="5C983D7F" w14:textId="77777777" w:rsidR="001F31A0" w:rsidRPr="00040AC1" w:rsidRDefault="001F31A0" w:rsidP="001F31A0">
      <w:pPr>
        <w:jc w:val="both"/>
        <w:rPr>
          <w:rFonts w:ascii="Arial" w:hAnsi="Arial" w:cs="Arial"/>
        </w:rPr>
      </w:pPr>
      <w:r w:rsidRPr="00040AC1">
        <w:rPr>
          <w:rFonts w:ascii="Arial" w:hAnsi="Arial" w:cs="Arial"/>
        </w:rPr>
        <w:t xml:space="preserve">hanno il compito di garantire il corretto funzionamento del sistema di gestione e controllo per quanto </w:t>
      </w:r>
      <w:proofErr w:type="gramStart"/>
      <w:r w:rsidRPr="00040AC1">
        <w:rPr>
          <w:rFonts w:ascii="Arial" w:hAnsi="Arial" w:cs="Arial"/>
        </w:rPr>
        <w:t>riguarda  le</w:t>
      </w:r>
      <w:proofErr w:type="gramEnd"/>
      <w:r w:rsidRPr="00040AC1">
        <w:rPr>
          <w:rFonts w:ascii="Arial" w:hAnsi="Arial" w:cs="Arial"/>
        </w:rPr>
        <w:t xml:space="preserve">  funzioni  stabilite agli  articoli  125 e 126 del regolamento (UE)  n. 1303/2013 (e  all'articolo  23 del regolamento (UE) n. 1299/2013. </w:t>
      </w:r>
      <w:proofErr w:type="gramStart"/>
      <w:r w:rsidRPr="00040AC1">
        <w:rPr>
          <w:rFonts w:ascii="Arial" w:hAnsi="Arial" w:cs="Arial"/>
        </w:rPr>
        <w:t>In  particolare</w:t>
      </w:r>
      <w:proofErr w:type="gramEnd"/>
      <w:r w:rsidRPr="00040AC1">
        <w:rPr>
          <w:rFonts w:ascii="Arial" w:hAnsi="Arial" w:cs="Arial"/>
        </w:rPr>
        <w:t>, è  responsabilità di  …</w:t>
      </w:r>
      <w:r w:rsidRPr="00E4143D">
        <w:rPr>
          <w:rFonts w:ascii="Arial" w:hAnsi="Arial" w:cs="Arial"/>
          <w:i/>
        </w:rPr>
        <w:t xml:space="preserve"> </w:t>
      </w:r>
      <w:r w:rsidRPr="00686ABD">
        <w:rPr>
          <w:rFonts w:ascii="Arial" w:hAnsi="Arial" w:cs="Arial"/>
          <w:i/>
          <w:color w:val="0070C0"/>
        </w:rPr>
        <w:t>[nome  dell'</w:t>
      </w:r>
      <w:r w:rsidR="001C593D">
        <w:rPr>
          <w:rFonts w:ascii="Arial" w:hAnsi="Arial" w:cs="Arial"/>
          <w:i/>
          <w:color w:val="0070C0"/>
        </w:rPr>
        <w:t>A</w:t>
      </w:r>
      <w:r w:rsidRPr="00686ABD">
        <w:rPr>
          <w:rFonts w:ascii="Arial" w:hAnsi="Arial" w:cs="Arial"/>
          <w:i/>
          <w:color w:val="0070C0"/>
        </w:rPr>
        <w:t>utorità  di  certificazione]</w:t>
      </w:r>
      <w:r w:rsidRPr="00E4143D">
        <w:rPr>
          <w:rFonts w:ascii="Arial" w:hAnsi="Arial" w:cs="Arial"/>
          <w:i/>
        </w:rPr>
        <w:t xml:space="preserve">,  </w:t>
      </w:r>
      <w:r w:rsidRPr="00040AC1">
        <w:rPr>
          <w:rFonts w:ascii="Arial" w:hAnsi="Arial" w:cs="Arial"/>
        </w:rPr>
        <w:t xml:space="preserve">designata  come  autorità di certificazione  del programma, tenere  la  contabilità  (conformemente all'articolo  137 del regolamento  (UE) n. 1303/2013) e certificare  la  completezza, l'esattezza  e la  veridicità  dei conti, come richiesto dall'articolo 126, lettere b) e c), del regolamento (UE) n. 1303/2013. </w:t>
      </w:r>
    </w:p>
    <w:p w14:paraId="577C26D9" w14:textId="77777777" w:rsidR="001F31A0" w:rsidRPr="00040AC1" w:rsidRDefault="001F31A0" w:rsidP="005A344E">
      <w:pPr>
        <w:jc w:val="both"/>
        <w:rPr>
          <w:rFonts w:ascii="Arial" w:hAnsi="Arial" w:cs="Arial"/>
        </w:rPr>
      </w:pPr>
      <w:r w:rsidRPr="00040AC1">
        <w:rPr>
          <w:rFonts w:ascii="Arial" w:hAnsi="Arial" w:cs="Arial"/>
        </w:rPr>
        <w:t xml:space="preserve">Inoltre, ai sensi dell'articolo 126, lettera c), del regolamento (UE) n. 1303/2013, è responsabilità dell'autorità di certificazione certificare che le spese iscritte a bilancio siano conformi al diritto </w:t>
      </w:r>
      <w:r w:rsidRPr="00040AC1">
        <w:rPr>
          <w:rFonts w:ascii="Arial" w:hAnsi="Arial" w:cs="Arial"/>
        </w:rPr>
        <w:lastRenderedPageBreak/>
        <w:t xml:space="preserve">applicabile e siano state sostenute in relazione ad operazioni selezionate per il finanziamento conformemente ai criteri applicabili al programma e nel rispetto del diritto applicabile </w:t>
      </w:r>
    </w:p>
    <w:p w14:paraId="50EB3A62" w14:textId="77777777" w:rsidR="000026BC" w:rsidRDefault="00DF2511" w:rsidP="005A344E">
      <w:pPr>
        <w:jc w:val="both"/>
        <w:rPr>
          <w:rFonts w:ascii="Arial" w:hAnsi="Arial" w:cs="Arial"/>
          <w:i/>
          <w:color w:val="0070C0"/>
        </w:rPr>
      </w:pPr>
      <w:r w:rsidRPr="00E4143D">
        <w:rPr>
          <w:rFonts w:ascii="Arial" w:hAnsi="Arial" w:cs="Arial"/>
          <w:i/>
          <w:color w:val="0070C0"/>
        </w:rPr>
        <w:t xml:space="preserve">[Paragrafo da compilare </w:t>
      </w:r>
      <w:r w:rsidR="00E4143D" w:rsidRPr="00E4143D">
        <w:rPr>
          <w:rFonts w:ascii="Arial" w:hAnsi="Arial" w:cs="Arial"/>
          <w:i/>
          <w:color w:val="0070C0"/>
        </w:rPr>
        <w:t xml:space="preserve">solo nel caso in cui la designazione delle Autorità del Programma sia stata notificata alla Commissione europea </w:t>
      </w:r>
      <w:r w:rsidR="001C593D" w:rsidRPr="001C593D">
        <w:rPr>
          <w:rFonts w:ascii="Arial" w:hAnsi="Arial" w:cs="Arial"/>
          <w:i/>
          <w:color w:val="0070C0"/>
        </w:rPr>
        <w:t>dopo il 31 luglio 2015 ma entro il 15 febbraio 2016</w:t>
      </w:r>
      <w:r w:rsidR="00E4143D" w:rsidRPr="00E4143D">
        <w:rPr>
          <w:rFonts w:ascii="Arial" w:hAnsi="Arial" w:cs="Arial"/>
          <w:i/>
          <w:color w:val="0070C0"/>
        </w:rPr>
        <w:t>]</w:t>
      </w:r>
    </w:p>
    <w:p w14:paraId="6B2B9C7D" w14:textId="77777777" w:rsidR="009A0DBB" w:rsidRPr="00E4143D" w:rsidRDefault="009A0DBB" w:rsidP="005A344E">
      <w:pPr>
        <w:jc w:val="both"/>
        <w:rPr>
          <w:rFonts w:ascii="Arial" w:hAnsi="Arial" w:cs="Arial"/>
          <w:i/>
          <w:color w:val="0070C0"/>
        </w:rPr>
      </w:pPr>
    </w:p>
    <w:p w14:paraId="031F4DEB" w14:textId="77777777" w:rsidR="001F31A0" w:rsidRPr="001F31A0" w:rsidRDefault="001F31A0" w:rsidP="005A344E">
      <w:pPr>
        <w:jc w:val="both"/>
        <w:rPr>
          <w:rFonts w:ascii="Arial" w:hAnsi="Arial" w:cs="Arial"/>
          <w:b/>
        </w:rPr>
      </w:pPr>
      <w:r w:rsidRPr="001F31A0">
        <w:rPr>
          <w:rFonts w:ascii="Arial" w:hAnsi="Arial" w:cs="Arial"/>
          <w:b/>
        </w:rPr>
        <w:t xml:space="preserve">3. RESPONSABILITÀ DELL'AUTORITÀ DI AUDIT </w:t>
      </w:r>
    </w:p>
    <w:p w14:paraId="62FCD010" w14:textId="77777777" w:rsidR="001F31A0" w:rsidRPr="001F31A0" w:rsidRDefault="001F31A0" w:rsidP="005A344E">
      <w:pPr>
        <w:jc w:val="both"/>
        <w:rPr>
          <w:rFonts w:ascii="Arial" w:hAnsi="Arial" w:cs="Arial"/>
        </w:rPr>
      </w:pPr>
      <w:r w:rsidRPr="001F31A0">
        <w:rPr>
          <w:rFonts w:ascii="Arial" w:hAnsi="Arial" w:cs="Arial"/>
        </w:rPr>
        <w:t>Come stabilito all'articolo 127, paragrafo 5, lettera a), del regolamento (UE) n. 1303/2013, è mia responsabilità esprimere un parere indipendente relativamente al fatto che i conti forniscano un quadro fedele e veritiero, che le spese delle quali è stato chiesto il rimborso alla Commissione e che sono dichia</w:t>
      </w:r>
      <w:r w:rsidR="005A344E">
        <w:rPr>
          <w:rFonts w:ascii="Arial" w:hAnsi="Arial" w:cs="Arial"/>
        </w:rPr>
        <w:t>rate nei conti siano legittime</w:t>
      </w:r>
      <w:r w:rsidRPr="001F31A0">
        <w:rPr>
          <w:rFonts w:ascii="Arial" w:hAnsi="Arial" w:cs="Arial"/>
        </w:rPr>
        <w:t xml:space="preserve"> e regolari e che il sistema di gestione e controllo istituito funzioni correttamente. È mia responsabilità anche includere nel parere una dichiarazione indicante se l'esercizio di revisione contabile mette in dubbio le asserzioni contenute nella dichiarazio</w:t>
      </w:r>
      <w:r w:rsidR="005A344E">
        <w:rPr>
          <w:rFonts w:ascii="Arial" w:hAnsi="Arial" w:cs="Arial"/>
        </w:rPr>
        <w:t>ne di affidabilità di gestione</w:t>
      </w:r>
      <w:r w:rsidRPr="001F31A0">
        <w:rPr>
          <w:rFonts w:ascii="Arial" w:hAnsi="Arial" w:cs="Arial"/>
        </w:rPr>
        <w:t xml:space="preserve">. </w:t>
      </w:r>
      <w:r w:rsidR="00D30490">
        <w:rPr>
          <w:rFonts w:ascii="Arial" w:hAnsi="Arial" w:cs="Arial"/>
        </w:rPr>
        <w:t xml:space="preserve">A tal fine si rinvia a quanto indicato al </w:t>
      </w:r>
      <w:r w:rsidR="00053372" w:rsidRPr="00686ABD">
        <w:rPr>
          <w:rFonts w:ascii="Arial" w:hAnsi="Arial" w:cs="Arial"/>
        </w:rPr>
        <w:t xml:space="preserve">successivo </w:t>
      </w:r>
      <w:r w:rsidR="00D30490">
        <w:rPr>
          <w:rFonts w:ascii="Arial" w:hAnsi="Arial" w:cs="Arial"/>
        </w:rPr>
        <w:t>punto 4.</w:t>
      </w:r>
    </w:p>
    <w:p w14:paraId="17C6EFA7" w14:textId="77777777" w:rsidR="001F31A0" w:rsidRPr="005A344E" w:rsidRDefault="001F31A0" w:rsidP="005A344E">
      <w:pPr>
        <w:jc w:val="both"/>
        <w:rPr>
          <w:rFonts w:ascii="Arial" w:hAnsi="Arial" w:cs="Arial"/>
          <w:b/>
        </w:rPr>
      </w:pPr>
      <w:r w:rsidRPr="005A344E">
        <w:rPr>
          <w:rFonts w:ascii="Arial" w:hAnsi="Arial" w:cs="Arial"/>
          <w:b/>
        </w:rPr>
        <w:t xml:space="preserve">4. LIMITAZIONI DELL'AMBITO DELL'AUDIT </w:t>
      </w:r>
    </w:p>
    <w:p w14:paraId="45E48B1F" w14:textId="77777777" w:rsidR="001F31A0" w:rsidRPr="001F31A0" w:rsidRDefault="00053372" w:rsidP="005A3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F31A0" w:rsidRPr="001F31A0">
        <w:rPr>
          <w:rFonts w:ascii="Arial" w:hAnsi="Arial" w:cs="Arial"/>
        </w:rPr>
        <w:t xml:space="preserve">'ambito dell'audit </w:t>
      </w:r>
      <w:r w:rsidR="000B50A5">
        <w:rPr>
          <w:rFonts w:ascii="Arial" w:hAnsi="Arial" w:cs="Arial"/>
        </w:rPr>
        <w:t>è stato</w:t>
      </w:r>
      <w:r w:rsidR="001F31A0" w:rsidRPr="001F31A0">
        <w:rPr>
          <w:rFonts w:ascii="Arial" w:hAnsi="Arial" w:cs="Arial"/>
        </w:rPr>
        <w:t xml:space="preserve"> limitato dai seguenti fattori: </w:t>
      </w:r>
    </w:p>
    <w:p w14:paraId="6BB9F99A" w14:textId="77777777" w:rsidR="00D30490" w:rsidRDefault="00D30490" w:rsidP="005A344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</w:t>
      </w:r>
      <w:r w:rsidRPr="00EA2F82">
        <w:rPr>
          <w:rFonts w:ascii="Arial" w:hAnsi="Arial" w:cs="Arial"/>
          <w:i/>
        </w:rPr>
        <w:t xml:space="preserve">) </w:t>
      </w:r>
      <w:r>
        <w:rPr>
          <w:rFonts w:ascii="Arial" w:hAnsi="Arial" w:cs="Arial"/>
          <w:i/>
        </w:rPr>
        <w:t>il Programma Operativo è stato approvato in data __/__/____/ con decisione comunitaria n.___ del_____</w:t>
      </w:r>
      <w:r w:rsidR="00CA5C8C">
        <w:rPr>
          <w:rFonts w:ascii="Arial" w:hAnsi="Arial" w:cs="Arial"/>
          <w:i/>
        </w:rPr>
        <w:t>;</w:t>
      </w:r>
    </w:p>
    <w:p w14:paraId="58A984E0" w14:textId="77777777" w:rsidR="00B32049" w:rsidRPr="00BD79E7" w:rsidRDefault="00D30490" w:rsidP="005A344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b</w:t>
      </w:r>
      <w:r w:rsidR="001F31A0" w:rsidRPr="00EA2F82">
        <w:rPr>
          <w:rFonts w:ascii="Arial" w:hAnsi="Arial" w:cs="Arial"/>
          <w:i/>
        </w:rPr>
        <w:t xml:space="preserve">) </w:t>
      </w:r>
      <w:r w:rsidR="00B32049" w:rsidRPr="00BD79E7">
        <w:rPr>
          <w:rFonts w:ascii="Arial" w:hAnsi="Arial" w:cs="Arial"/>
          <w:i/>
        </w:rPr>
        <w:t>non è stata completata la procedura di notifica della designazione dell’Autorità di Gestione, dell’Autorità di Certificazione e dell’Autorità di Audit</w:t>
      </w:r>
      <w:r w:rsidR="00A41219" w:rsidRPr="00BD79E7">
        <w:rPr>
          <w:rFonts w:ascii="Arial" w:hAnsi="Arial" w:cs="Arial"/>
          <w:i/>
        </w:rPr>
        <w:t xml:space="preserve"> entro il 15 febbraio 2016</w:t>
      </w:r>
      <w:r w:rsidR="00B32049" w:rsidRPr="00BD79E7">
        <w:rPr>
          <w:rFonts w:ascii="Arial" w:hAnsi="Arial" w:cs="Arial"/>
          <w:i/>
        </w:rPr>
        <w:t>;</w:t>
      </w:r>
      <w:r w:rsidR="00267F62" w:rsidRPr="00BD79E7">
        <w:rPr>
          <w:rFonts w:ascii="Arial" w:hAnsi="Arial" w:cs="Arial"/>
          <w:i/>
        </w:rPr>
        <w:t xml:space="preserve"> </w:t>
      </w:r>
      <w:r w:rsidR="00A41219" w:rsidRPr="00A41219">
        <w:rPr>
          <w:rFonts w:ascii="Arial" w:hAnsi="Arial" w:cs="Arial"/>
          <w:i/>
          <w:color w:val="0070C0"/>
        </w:rPr>
        <w:t>[</w:t>
      </w:r>
      <w:r w:rsidR="00267F62" w:rsidRPr="00A41219">
        <w:rPr>
          <w:rFonts w:ascii="Arial" w:hAnsi="Arial" w:cs="Arial"/>
          <w:i/>
          <w:color w:val="0070C0"/>
        </w:rPr>
        <w:t>oppure</w:t>
      </w:r>
      <w:r w:rsidR="00A41219" w:rsidRPr="00A41219">
        <w:rPr>
          <w:rFonts w:ascii="Arial" w:hAnsi="Arial" w:cs="Arial"/>
          <w:i/>
          <w:color w:val="0070C0"/>
        </w:rPr>
        <w:t>]</w:t>
      </w:r>
      <w:r w:rsidR="001C593D">
        <w:rPr>
          <w:rFonts w:ascii="Arial" w:hAnsi="Arial" w:cs="Arial"/>
          <w:i/>
          <w:color w:val="0070C0"/>
        </w:rPr>
        <w:t xml:space="preserve"> </w:t>
      </w:r>
      <w:r w:rsidR="00A41219" w:rsidRPr="00BD79E7">
        <w:rPr>
          <w:rFonts w:ascii="Arial" w:hAnsi="Arial" w:cs="Arial"/>
          <w:i/>
        </w:rPr>
        <w:t>la procedura di notifica della designazione delle Autorità (</w:t>
      </w:r>
      <w:proofErr w:type="spellStart"/>
      <w:r w:rsidR="00A41219" w:rsidRPr="00BD79E7">
        <w:rPr>
          <w:rFonts w:ascii="Arial" w:hAnsi="Arial" w:cs="Arial"/>
          <w:i/>
        </w:rPr>
        <w:t>AdG</w:t>
      </w:r>
      <w:proofErr w:type="spellEnd"/>
      <w:r w:rsidR="00A41219" w:rsidRPr="00BD79E7">
        <w:rPr>
          <w:rFonts w:ascii="Arial" w:hAnsi="Arial" w:cs="Arial"/>
          <w:i/>
        </w:rPr>
        <w:t xml:space="preserve">, </w:t>
      </w:r>
      <w:proofErr w:type="spellStart"/>
      <w:r w:rsidR="00A41219" w:rsidRPr="00BD79E7">
        <w:rPr>
          <w:rFonts w:ascii="Arial" w:hAnsi="Arial" w:cs="Arial"/>
          <w:i/>
        </w:rPr>
        <w:t>AdC</w:t>
      </w:r>
      <w:proofErr w:type="spellEnd"/>
      <w:r w:rsidR="00A41219" w:rsidRPr="00BD79E7">
        <w:rPr>
          <w:rFonts w:ascii="Arial" w:hAnsi="Arial" w:cs="Arial"/>
          <w:i/>
        </w:rPr>
        <w:t xml:space="preserve"> e </w:t>
      </w:r>
      <w:proofErr w:type="spellStart"/>
      <w:r w:rsidR="00A41219" w:rsidRPr="00BD79E7">
        <w:rPr>
          <w:rFonts w:ascii="Arial" w:hAnsi="Arial" w:cs="Arial"/>
          <w:i/>
        </w:rPr>
        <w:t>AdA</w:t>
      </w:r>
      <w:proofErr w:type="spellEnd"/>
      <w:r w:rsidR="00A41219" w:rsidRPr="00BD79E7">
        <w:rPr>
          <w:rFonts w:ascii="Arial" w:hAnsi="Arial" w:cs="Arial"/>
          <w:i/>
        </w:rPr>
        <w:t>) è stata completata dopo il 31 luglio 2015 ma entro il 15 febbraio 2016;</w:t>
      </w:r>
    </w:p>
    <w:p w14:paraId="7A5B6FFF" w14:textId="77777777" w:rsidR="00D30490" w:rsidRDefault="00B32049" w:rsidP="005A344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c) </w:t>
      </w:r>
      <w:r w:rsidR="005A344E" w:rsidRPr="00EA2F82">
        <w:rPr>
          <w:rFonts w:ascii="Arial" w:hAnsi="Arial" w:cs="Arial"/>
          <w:i/>
        </w:rPr>
        <w:t>nessuna spesa è stata dichiarata alla Commissione per quanto riguarda il primo periodo contabile (gennaio 2014-giugno 2015);</w:t>
      </w:r>
      <w:r w:rsidR="000B50A5" w:rsidRPr="000B50A5">
        <w:rPr>
          <w:rFonts w:ascii="Arial" w:hAnsi="Arial" w:cs="Arial"/>
          <w:i/>
        </w:rPr>
        <w:t xml:space="preserve"> </w:t>
      </w:r>
    </w:p>
    <w:p w14:paraId="20E475B0" w14:textId="77777777" w:rsidR="001F31A0" w:rsidRPr="00EA2F82" w:rsidRDefault="00D30490" w:rsidP="005A344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c) </w:t>
      </w:r>
      <w:r w:rsidR="000B50A5" w:rsidRPr="00EA2F82">
        <w:rPr>
          <w:rFonts w:ascii="Arial" w:hAnsi="Arial" w:cs="Arial"/>
          <w:i/>
        </w:rPr>
        <w:t>l’</w:t>
      </w:r>
      <w:proofErr w:type="spellStart"/>
      <w:r w:rsidR="000B50A5" w:rsidRPr="00EA2F82">
        <w:rPr>
          <w:rFonts w:ascii="Arial" w:hAnsi="Arial" w:cs="Arial"/>
          <w:i/>
        </w:rPr>
        <w:t>AdC</w:t>
      </w:r>
      <w:proofErr w:type="spellEnd"/>
      <w:r w:rsidR="000B50A5" w:rsidRPr="00EA2F82">
        <w:rPr>
          <w:rFonts w:ascii="Arial" w:hAnsi="Arial" w:cs="Arial"/>
          <w:i/>
        </w:rPr>
        <w:t xml:space="preserve"> non ha versato contributi del programma agli strumenti finanziari ai sensi dell'articolo 41 (1) CPR o anticipi relativi ad aiuti di Stato ai sensi dell'articolo 131 (4) CPR r</w:t>
      </w:r>
      <w:r w:rsidR="00CA5C8C">
        <w:rPr>
          <w:rFonts w:ascii="Arial" w:hAnsi="Arial" w:cs="Arial"/>
          <w:i/>
        </w:rPr>
        <w:t>egistrati nel sistema dei conti;</w:t>
      </w:r>
    </w:p>
    <w:p w14:paraId="778391B6" w14:textId="77777777" w:rsidR="001F31A0" w:rsidRPr="00EA2F82" w:rsidRDefault="00D30490" w:rsidP="005A344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</w:t>
      </w:r>
      <w:r w:rsidR="005A344E" w:rsidRPr="00EA2F82">
        <w:rPr>
          <w:rFonts w:ascii="Arial" w:hAnsi="Arial" w:cs="Arial"/>
          <w:i/>
        </w:rPr>
        <w:t xml:space="preserve">) </w:t>
      </w:r>
      <w:r w:rsidR="000B50A5">
        <w:rPr>
          <w:rFonts w:ascii="Arial" w:hAnsi="Arial" w:cs="Arial"/>
          <w:i/>
        </w:rPr>
        <w:t xml:space="preserve">nessun audit </w:t>
      </w:r>
      <w:r w:rsidR="005A344E" w:rsidRPr="00EA2F82">
        <w:rPr>
          <w:rFonts w:ascii="Arial" w:hAnsi="Arial" w:cs="Arial"/>
          <w:i/>
        </w:rPr>
        <w:t xml:space="preserve">di sistema è stato </w:t>
      </w:r>
      <w:r w:rsidR="000B50A5">
        <w:rPr>
          <w:rFonts w:ascii="Arial" w:hAnsi="Arial" w:cs="Arial"/>
          <w:i/>
        </w:rPr>
        <w:t>eseguito</w:t>
      </w:r>
      <w:r w:rsidR="00643072">
        <w:rPr>
          <w:rFonts w:ascii="Arial" w:hAnsi="Arial" w:cs="Arial"/>
          <w:i/>
        </w:rPr>
        <w:t>,</w:t>
      </w:r>
      <w:r w:rsidR="005A344E" w:rsidRPr="00EA2F82">
        <w:rPr>
          <w:rFonts w:ascii="Arial" w:hAnsi="Arial" w:cs="Arial"/>
          <w:i/>
        </w:rPr>
        <w:t xml:space="preserve"> </w:t>
      </w:r>
      <w:r w:rsidR="00BD79E7">
        <w:rPr>
          <w:rFonts w:ascii="Arial" w:hAnsi="Arial" w:cs="Arial"/>
          <w:i/>
        </w:rPr>
        <w:t>in quanto non risulta ultimata la</w:t>
      </w:r>
      <w:r w:rsidR="005A344E" w:rsidRPr="00EA2F82">
        <w:rPr>
          <w:rFonts w:ascii="Arial" w:hAnsi="Arial" w:cs="Arial"/>
          <w:i/>
        </w:rPr>
        <w:t xml:space="preserve"> procedur</w:t>
      </w:r>
      <w:r w:rsidR="00BD79E7">
        <w:rPr>
          <w:rFonts w:ascii="Arial" w:hAnsi="Arial" w:cs="Arial"/>
          <w:i/>
        </w:rPr>
        <w:t xml:space="preserve">a di notifica della </w:t>
      </w:r>
      <w:r w:rsidR="005A344E" w:rsidRPr="00EA2F82">
        <w:rPr>
          <w:rFonts w:ascii="Arial" w:hAnsi="Arial" w:cs="Arial"/>
          <w:i/>
        </w:rPr>
        <w:t xml:space="preserve">designazione </w:t>
      </w:r>
      <w:r w:rsidR="00643072" w:rsidRPr="00CD4557">
        <w:rPr>
          <w:rFonts w:ascii="Arial" w:hAnsi="Arial" w:cs="Arial"/>
          <w:i/>
        </w:rPr>
        <w:t>delle Autorità del Programma</w:t>
      </w:r>
      <w:r w:rsidR="00CD4557">
        <w:rPr>
          <w:rFonts w:ascii="Arial" w:hAnsi="Arial" w:cs="Arial"/>
          <w:i/>
        </w:rPr>
        <w:t xml:space="preserve"> </w:t>
      </w:r>
      <w:r w:rsidR="00296BA7">
        <w:rPr>
          <w:rFonts w:ascii="Arial" w:hAnsi="Arial" w:cs="Arial"/>
          <w:i/>
        </w:rPr>
        <w:t xml:space="preserve">al 15 febbraio 2016 </w:t>
      </w:r>
      <w:r w:rsidR="00CD4557" w:rsidRPr="00CD4557">
        <w:rPr>
          <w:rFonts w:ascii="Arial" w:hAnsi="Arial" w:cs="Arial"/>
          <w:i/>
          <w:color w:val="0070C0"/>
        </w:rPr>
        <w:t xml:space="preserve">[oppure] </w:t>
      </w:r>
      <w:r w:rsidR="00BD79E7" w:rsidRPr="00CA5C8C">
        <w:rPr>
          <w:rFonts w:ascii="Arial" w:hAnsi="Arial" w:cs="Arial"/>
          <w:i/>
        </w:rPr>
        <w:t xml:space="preserve">in quanto la procedura </w:t>
      </w:r>
      <w:r w:rsidR="00CA5C8C" w:rsidRPr="00CA5C8C">
        <w:rPr>
          <w:rFonts w:ascii="Arial" w:hAnsi="Arial" w:cs="Arial"/>
          <w:i/>
        </w:rPr>
        <w:t xml:space="preserve">di notifica della </w:t>
      </w:r>
      <w:r w:rsidR="00BD79E7" w:rsidRPr="00CA5C8C">
        <w:rPr>
          <w:rFonts w:ascii="Arial" w:hAnsi="Arial" w:cs="Arial"/>
          <w:i/>
        </w:rPr>
        <w:t xml:space="preserve">designazione delle Autorità del Programma </w:t>
      </w:r>
      <w:r w:rsidR="00CA5C8C" w:rsidRPr="00CA5C8C">
        <w:rPr>
          <w:rFonts w:ascii="Arial" w:hAnsi="Arial" w:cs="Arial"/>
          <w:i/>
        </w:rPr>
        <w:t>è avvenuta il__________</w:t>
      </w:r>
      <w:r w:rsidR="00296BA7">
        <w:rPr>
          <w:rFonts w:ascii="Arial" w:hAnsi="Arial" w:cs="Arial"/>
          <w:i/>
        </w:rPr>
        <w:t xml:space="preserve"> </w:t>
      </w:r>
      <w:r w:rsidR="00296BA7" w:rsidRPr="0050398D">
        <w:rPr>
          <w:rFonts w:ascii="Arial" w:hAnsi="Arial" w:cs="Arial"/>
          <w:i/>
          <w:color w:val="0070C0"/>
        </w:rPr>
        <w:t>[</w:t>
      </w:r>
      <w:r w:rsidR="0050398D">
        <w:rPr>
          <w:rFonts w:ascii="Arial" w:hAnsi="Arial" w:cs="Arial"/>
          <w:i/>
          <w:color w:val="0070C0"/>
        </w:rPr>
        <w:t xml:space="preserve">inserire una data compresa tra il </w:t>
      </w:r>
      <w:proofErr w:type="gramStart"/>
      <w:r w:rsidR="0050398D">
        <w:rPr>
          <w:rFonts w:ascii="Arial" w:hAnsi="Arial" w:cs="Arial"/>
          <w:i/>
          <w:color w:val="0070C0"/>
        </w:rPr>
        <w:t>1 agosto</w:t>
      </w:r>
      <w:proofErr w:type="gramEnd"/>
      <w:r w:rsidR="0050398D">
        <w:rPr>
          <w:rFonts w:ascii="Arial" w:hAnsi="Arial" w:cs="Arial"/>
          <w:i/>
          <w:color w:val="0070C0"/>
        </w:rPr>
        <w:t xml:space="preserve"> </w:t>
      </w:r>
      <w:r w:rsidR="00296BA7" w:rsidRPr="0050398D">
        <w:rPr>
          <w:rFonts w:ascii="Arial" w:hAnsi="Arial" w:cs="Arial"/>
          <w:i/>
          <w:color w:val="0070C0"/>
        </w:rPr>
        <w:t xml:space="preserve">2015 </w:t>
      </w:r>
      <w:r w:rsidR="0050398D" w:rsidRPr="0050398D">
        <w:rPr>
          <w:rFonts w:ascii="Arial" w:hAnsi="Arial" w:cs="Arial"/>
          <w:i/>
          <w:color w:val="0070C0"/>
        </w:rPr>
        <w:t xml:space="preserve">e il </w:t>
      </w:r>
      <w:r w:rsidR="00296BA7" w:rsidRPr="0050398D">
        <w:rPr>
          <w:rFonts w:ascii="Arial" w:hAnsi="Arial" w:cs="Arial"/>
          <w:i/>
          <w:color w:val="0070C0"/>
        </w:rPr>
        <w:t>15 febbraio 2016]</w:t>
      </w:r>
      <w:r w:rsidR="00CA5C8C" w:rsidRPr="0050398D">
        <w:rPr>
          <w:rFonts w:ascii="Arial" w:hAnsi="Arial" w:cs="Arial"/>
          <w:i/>
        </w:rPr>
        <w:t>.</w:t>
      </w:r>
    </w:p>
    <w:p w14:paraId="0D79FCD7" w14:textId="77777777" w:rsidR="001F31A0" w:rsidRPr="00EA2F82" w:rsidRDefault="001F31A0" w:rsidP="005A344E">
      <w:pPr>
        <w:jc w:val="both"/>
        <w:rPr>
          <w:rFonts w:ascii="Arial" w:hAnsi="Arial" w:cs="Arial"/>
          <w:b/>
        </w:rPr>
      </w:pPr>
      <w:r w:rsidRPr="00EA2F82">
        <w:rPr>
          <w:rFonts w:ascii="Arial" w:hAnsi="Arial" w:cs="Arial"/>
          <w:b/>
        </w:rPr>
        <w:t xml:space="preserve">5. PARERE </w:t>
      </w:r>
    </w:p>
    <w:p w14:paraId="1BE57230" w14:textId="77777777" w:rsidR="00630A0E" w:rsidRPr="00267F62" w:rsidRDefault="00BF787A" w:rsidP="005A344E">
      <w:pPr>
        <w:jc w:val="both"/>
        <w:rPr>
          <w:rFonts w:ascii="Arial" w:hAnsi="Arial" w:cs="Arial"/>
        </w:rPr>
      </w:pPr>
      <w:r w:rsidRPr="00267F62">
        <w:rPr>
          <w:rFonts w:ascii="Arial" w:hAnsi="Arial" w:cs="Arial"/>
        </w:rPr>
        <w:t>S</w:t>
      </w:r>
      <w:r w:rsidR="003B7222" w:rsidRPr="00267F62">
        <w:rPr>
          <w:rFonts w:ascii="Arial" w:hAnsi="Arial" w:cs="Arial"/>
        </w:rPr>
        <w:t xml:space="preserve">ulla base delle limitazioni descritte al punto 4, il sottoscritto ritiene che l’Autorità di </w:t>
      </w:r>
      <w:r w:rsidR="00C45C89" w:rsidRPr="00267F62">
        <w:rPr>
          <w:rFonts w:ascii="Arial" w:hAnsi="Arial" w:cs="Arial"/>
        </w:rPr>
        <w:t>A</w:t>
      </w:r>
      <w:r w:rsidR="003B7222" w:rsidRPr="00267F62">
        <w:rPr>
          <w:rFonts w:ascii="Arial" w:hAnsi="Arial" w:cs="Arial"/>
        </w:rPr>
        <w:t xml:space="preserve">udit </w:t>
      </w:r>
      <w:r w:rsidR="00053372" w:rsidRPr="00267F62">
        <w:rPr>
          <w:rStyle w:val="hps"/>
          <w:rFonts w:ascii="Arial" w:hAnsi="Arial" w:cs="Arial"/>
        </w:rPr>
        <w:t>n</w:t>
      </w:r>
      <w:r w:rsidRPr="00267F62">
        <w:rPr>
          <w:rStyle w:val="hps"/>
          <w:rFonts w:ascii="Arial" w:hAnsi="Arial" w:cs="Arial"/>
        </w:rPr>
        <w:t>on sia stata in grado di acquisire sufficienti e adeguati</w:t>
      </w:r>
      <w:r w:rsidRPr="00267F62">
        <w:rPr>
          <w:rFonts w:ascii="Arial" w:hAnsi="Arial" w:cs="Arial"/>
        </w:rPr>
        <w:t xml:space="preserve"> </w:t>
      </w:r>
      <w:r w:rsidRPr="00267F62">
        <w:rPr>
          <w:rStyle w:val="hps"/>
          <w:rFonts w:ascii="Arial" w:hAnsi="Arial" w:cs="Arial"/>
        </w:rPr>
        <w:t xml:space="preserve">elementi probativi </w:t>
      </w:r>
      <w:r w:rsidR="00630A0E" w:rsidRPr="00267F62">
        <w:rPr>
          <w:rStyle w:val="hps"/>
          <w:rFonts w:ascii="Arial" w:hAnsi="Arial" w:cs="Arial"/>
        </w:rPr>
        <w:t>per rilasciare un parere di audit</w:t>
      </w:r>
      <w:r w:rsidRPr="00267F62">
        <w:rPr>
          <w:rFonts w:ascii="Arial" w:hAnsi="Arial" w:cs="Arial"/>
        </w:rPr>
        <w:t xml:space="preserve">. </w:t>
      </w:r>
      <w:r w:rsidRPr="00267F62">
        <w:rPr>
          <w:rStyle w:val="hps"/>
          <w:rFonts w:ascii="Arial" w:hAnsi="Arial" w:cs="Arial"/>
        </w:rPr>
        <w:t>Di conseguenza</w:t>
      </w:r>
      <w:r w:rsidRPr="00267F62">
        <w:rPr>
          <w:rFonts w:ascii="Arial" w:hAnsi="Arial" w:cs="Arial"/>
        </w:rPr>
        <w:t xml:space="preserve">, </w:t>
      </w:r>
      <w:r w:rsidR="00037D79">
        <w:rPr>
          <w:rFonts w:ascii="Arial" w:hAnsi="Arial" w:cs="Arial"/>
        </w:rPr>
        <w:t xml:space="preserve">conformemente alle indicazioni contenute nella </w:t>
      </w:r>
      <w:r w:rsidR="00037D79" w:rsidRPr="00F17057">
        <w:rPr>
          <w:rStyle w:val="hps"/>
          <w:rFonts w:ascii="Arial" w:hAnsi="Arial" w:cs="Arial"/>
          <w:noProof/>
          <w:sz w:val="21"/>
          <w:szCs w:val="21"/>
        </w:rPr>
        <w:t>“</w:t>
      </w:r>
      <w:r w:rsidR="00037D79" w:rsidRPr="00F17057">
        <w:rPr>
          <w:rStyle w:val="hps"/>
          <w:rFonts w:ascii="Arial" w:hAnsi="Arial" w:cs="Arial"/>
          <w:i/>
          <w:noProof/>
          <w:sz w:val="21"/>
          <w:szCs w:val="21"/>
        </w:rPr>
        <w:t xml:space="preserve">Guidance for Member States on </w:t>
      </w:r>
      <w:r w:rsidR="00037D79" w:rsidRPr="00F17057">
        <w:rPr>
          <w:rStyle w:val="hps"/>
          <w:rFonts w:ascii="Arial" w:hAnsi="Arial" w:cs="Arial"/>
          <w:i/>
          <w:noProof/>
          <w:sz w:val="21"/>
          <w:szCs w:val="21"/>
        </w:rPr>
        <w:lastRenderedPageBreak/>
        <w:t>the Annual Control Report and Audit Opinion</w:t>
      </w:r>
      <w:r w:rsidR="00037D79" w:rsidRPr="00F17057">
        <w:rPr>
          <w:rStyle w:val="hps"/>
          <w:rFonts w:ascii="Arial" w:hAnsi="Arial" w:cs="Arial"/>
          <w:noProof/>
          <w:sz w:val="21"/>
          <w:szCs w:val="21"/>
        </w:rPr>
        <w:t>” – EGESIF 15-0002-02 final del 09.10.2015</w:t>
      </w:r>
      <w:r w:rsidR="00037D79">
        <w:rPr>
          <w:rStyle w:val="hps"/>
          <w:rFonts w:ascii="Arial" w:hAnsi="Arial" w:cs="Arial"/>
          <w:noProof/>
          <w:sz w:val="21"/>
          <w:szCs w:val="21"/>
        </w:rPr>
        <w:t xml:space="preserve"> e nel relativo Allegato III, </w:t>
      </w:r>
      <w:r w:rsidR="004B77EB" w:rsidRPr="00267F62">
        <w:rPr>
          <w:rFonts w:ascii="Arial" w:hAnsi="Arial" w:cs="Arial"/>
        </w:rPr>
        <w:t xml:space="preserve">non si </w:t>
      </w:r>
      <w:r w:rsidR="00630A0E" w:rsidRPr="00267F62">
        <w:rPr>
          <w:rFonts w:ascii="Arial" w:hAnsi="Arial" w:cs="Arial"/>
        </w:rPr>
        <w:t>esprime u</w:t>
      </w:r>
      <w:r w:rsidRPr="00267F62">
        <w:rPr>
          <w:rStyle w:val="hps"/>
          <w:rFonts w:ascii="Arial" w:hAnsi="Arial" w:cs="Arial"/>
        </w:rPr>
        <w:t>n parere</w:t>
      </w:r>
      <w:r w:rsidRPr="00267F62">
        <w:rPr>
          <w:rFonts w:ascii="Arial" w:hAnsi="Arial" w:cs="Arial"/>
        </w:rPr>
        <w:t xml:space="preserve"> </w:t>
      </w:r>
      <w:r w:rsidRPr="00267F62">
        <w:rPr>
          <w:rStyle w:val="hps"/>
          <w:rFonts w:ascii="Arial" w:hAnsi="Arial" w:cs="Arial"/>
        </w:rPr>
        <w:t>sui seguenti aspetti</w:t>
      </w:r>
      <w:r w:rsidRPr="00267F62">
        <w:rPr>
          <w:rFonts w:ascii="Arial" w:hAnsi="Arial" w:cs="Arial"/>
        </w:rPr>
        <w:t>:</w:t>
      </w:r>
    </w:p>
    <w:p w14:paraId="4C5A6A1D" w14:textId="77777777" w:rsidR="00630A0E" w:rsidRPr="00267F62" w:rsidRDefault="001C6066" w:rsidP="00630A0E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Style w:val="hps"/>
          <w:rFonts w:ascii="Arial" w:hAnsi="Arial" w:cs="Arial"/>
        </w:rPr>
        <w:t xml:space="preserve">la </w:t>
      </w:r>
      <w:r w:rsidR="00CB0680">
        <w:rPr>
          <w:rStyle w:val="hps"/>
          <w:rFonts w:ascii="Arial" w:hAnsi="Arial" w:cs="Arial"/>
        </w:rPr>
        <w:t xml:space="preserve">legalità e </w:t>
      </w:r>
      <w:r w:rsidR="004B77EB" w:rsidRPr="00267F62">
        <w:rPr>
          <w:rStyle w:val="hps"/>
          <w:rFonts w:ascii="Arial" w:hAnsi="Arial" w:cs="Arial"/>
        </w:rPr>
        <w:t>regolarità della spesa;</w:t>
      </w:r>
    </w:p>
    <w:p w14:paraId="43A5A9BC" w14:textId="77777777" w:rsidR="00053372" w:rsidRPr="00267F62" w:rsidRDefault="001C6066" w:rsidP="00630A0E">
      <w:pPr>
        <w:pStyle w:val="Paragrafoelenco"/>
        <w:numPr>
          <w:ilvl w:val="0"/>
          <w:numId w:val="1"/>
        </w:numPr>
        <w:jc w:val="both"/>
        <w:rPr>
          <w:rStyle w:val="hps"/>
          <w:rFonts w:ascii="Arial" w:hAnsi="Arial" w:cs="Arial"/>
        </w:rPr>
      </w:pPr>
      <w:r>
        <w:rPr>
          <w:rStyle w:val="hps"/>
          <w:rFonts w:ascii="Arial" w:hAnsi="Arial" w:cs="Arial"/>
        </w:rPr>
        <w:t xml:space="preserve">il </w:t>
      </w:r>
      <w:r w:rsidR="00053372" w:rsidRPr="00267F62">
        <w:rPr>
          <w:rStyle w:val="hps"/>
          <w:rFonts w:ascii="Arial" w:hAnsi="Arial" w:cs="Arial"/>
        </w:rPr>
        <w:t>funzionamento</w:t>
      </w:r>
      <w:r w:rsidR="00053372" w:rsidRPr="00267F62">
        <w:rPr>
          <w:rFonts w:ascii="Arial" w:hAnsi="Arial" w:cs="Arial"/>
        </w:rPr>
        <w:t xml:space="preserve"> </w:t>
      </w:r>
      <w:r w:rsidR="00053372" w:rsidRPr="00267F62">
        <w:rPr>
          <w:rStyle w:val="hps"/>
          <w:rFonts w:ascii="Arial" w:hAnsi="Arial" w:cs="Arial"/>
        </w:rPr>
        <w:t xml:space="preserve">del </w:t>
      </w:r>
      <w:r w:rsidR="0050398D">
        <w:rPr>
          <w:rStyle w:val="hps"/>
          <w:rFonts w:ascii="Arial" w:hAnsi="Arial" w:cs="Arial"/>
        </w:rPr>
        <w:t>S</w:t>
      </w:r>
      <w:r w:rsidR="00053372" w:rsidRPr="00267F62">
        <w:rPr>
          <w:rStyle w:val="hps"/>
          <w:rFonts w:ascii="Arial" w:hAnsi="Arial" w:cs="Arial"/>
        </w:rPr>
        <w:t>istema di gestione</w:t>
      </w:r>
      <w:r w:rsidR="00053372" w:rsidRPr="00267F62">
        <w:rPr>
          <w:rFonts w:ascii="Arial" w:hAnsi="Arial" w:cs="Arial"/>
        </w:rPr>
        <w:t xml:space="preserve"> </w:t>
      </w:r>
      <w:r w:rsidR="00053372" w:rsidRPr="00267F62">
        <w:rPr>
          <w:rStyle w:val="hps"/>
          <w:rFonts w:ascii="Arial" w:hAnsi="Arial" w:cs="Arial"/>
        </w:rPr>
        <w:t>e controllo;</w:t>
      </w:r>
    </w:p>
    <w:p w14:paraId="456D6AE9" w14:textId="77777777" w:rsidR="00053372" w:rsidRPr="00267F62" w:rsidRDefault="001C6066" w:rsidP="00053372">
      <w:pPr>
        <w:pStyle w:val="Paragrafoelenco"/>
        <w:numPr>
          <w:ilvl w:val="0"/>
          <w:numId w:val="1"/>
        </w:numPr>
        <w:jc w:val="both"/>
        <w:rPr>
          <w:rStyle w:val="hps"/>
          <w:rFonts w:ascii="Arial" w:hAnsi="Arial" w:cs="Arial"/>
        </w:rPr>
      </w:pPr>
      <w:r>
        <w:rPr>
          <w:rStyle w:val="hps"/>
          <w:rFonts w:ascii="Arial" w:hAnsi="Arial" w:cs="Arial"/>
        </w:rPr>
        <w:t xml:space="preserve">i </w:t>
      </w:r>
      <w:r w:rsidR="00053372" w:rsidRPr="00267F62">
        <w:rPr>
          <w:rStyle w:val="hps"/>
          <w:rFonts w:ascii="Arial" w:hAnsi="Arial" w:cs="Arial"/>
        </w:rPr>
        <w:t>conti.</w:t>
      </w:r>
    </w:p>
    <w:p w14:paraId="11AB4FC7" w14:textId="77777777" w:rsidR="00053372" w:rsidRDefault="00053372" w:rsidP="00053372">
      <w:pPr>
        <w:pStyle w:val="Paragrafoelenco"/>
        <w:jc w:val="both"/>
        <w:rPr>
          <w:rStyle w:val="hps"/>
          <w:rFonts w:ascii="Arial" w:hAnsi="Arial" w:cs="Arial"/>
        </w:rPr>
      </w:pPr>
    </w:p>
    <w:p w14:paraId="742044AE" w14:textId="77777777" w:rsidR="00EA2F82" w:rsidRDefault="00053372" w:rsidP="00780ACC">
      <w:pPr>
        <w:jc w:val="both"/>
        <w:rPr>
          <w:rFonts w:ascii="Arial" w:hAnsi="Arial" w:cs="Arial"/>
        </w:rPr>
      </w:pPr>
      <w:r w:rsidRPr="00053372">
        <w:rPr>
          <w:rFonts w:ascii="Arial" w:hAnsi="Arial" w:cs="Arial"/>
        </w:rPr>
        <w:t xml:space="preserve"> </w:t>
      </w:r>
      <w:r w:rsidR="001F31A0" w:rsidRPr="00053372">
        <w:rPr>
          <w:rFonts w:ascii="Arial" w:hAnsi="Arial" w:cs="Arial"/>
        </w:rPr>
        <w:t xml:space="preserve">Data </w:t>
      </w:r>
    </w:p>
    <w:p w14:paraId="14F7BAAE" w14:textId="77777777" w:rsidR="001F31A0" w:rsidRPr="001F31A0" w:rsidRDefault="001F31A0" w:rsidP="009A0DBB">
      <w:pPr>
        <w:ind w:left="7080" w:firstLine="708"/>
        <w:jc w:val="both"/>
        <w:rPr>
          <w:rFonts w:ascii="Arial" w:hAnsi="Arial" w:cs="Arial"/>
        </w:rPr>
      </w:pPr>
      <w:r w:rsidRPr="001F31A0">
        <w:rPr>
          <w:rFonts w:ascii="Arial" w:hAnsi="Arial" w:cs="Arial"/>
        </w:rPr>
        <w:t>Firma</w:t>
      </w:r>
    </w:p>
    <w:sectPr w:rsidR="001F31A0" w:rsidRPr="001F31A0" w:rsidSect="009A0DBB">
      <w:headerReference w:type="default" r:id="rId8"/>
      <w:footerReference w:type="default" r:id="rId9"/>
      <w:pgSz w:w="11906" w:h="16838"/>
      <w:pgMar w:top="194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D87FB" w14:textId="77777777" w:rsidR="00D1309C" w:rsidRDefault="00D1309C" w:rsidP="00912DDE">
      <w:pPr>
        <w:spacing w:after="0" w:line="240" w:lineRule="auto"/>
      </w:pPr>
      <w:r>
        <w:separator/>
      </w:r>
    </w:p>
  </w:endnote>
  <w:endnote w:type="continuationSeparator" w:id="0">
    <w:p w14:paraId="69818D61" w14:textId="77777777" w:rsidR="00D1309C" w:rsidRDefault="00D1309C" w:rsidP="0091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430670"/>
      <w:docPartObj>
        <w:docPartGallery w:val="Page Numbers (Bottom of Page)"/>
        <w:docPartUnique/>
      </w:docPartObj>
    </w:sdtPr>
    <w:sdtEndPr/>
    <w:sdtContent>
      <w:p w14:paraId="7659787E" w14:textId="77777777" w:rsidR="00912DDE" w:rsidRDefault="00912D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A5D">
          <w:rPr>
            <w:noProof/>
          </w:rPr>
          <w:t>1</w:t>
        </w:r>
        <w:r>
          <w:fldChar w:fldCharType="end"/>
        </w:r>
        <w:r w:rsidR="009A0DBB">
          <w:t>/2</w:t>
        </w:r>
      </w:p>
    </w:sdtContent>
  </w:sdt>
  <w:p w14:paraId="61705EC6" w14:textId="77777777" w:rsidR="00912DDE" w:rsidRDefault="00912DDE" w:rsidP="00912DDE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0D601" w14:textId="77777777" w:rsidR="00D1309C" w:rsidRDefault="00D1309C" w:rsidP="00912DDE">
      <w:pPr>
        <w:spacing w:after="0" w:line="240" w:lineRule="auto"/>
      </w:pPr>
      <w:r>
        <w:separator/>
      </w:r>
    </w:p>
  </w:footnote>
  <w:footnote w:type="continuationSeparator" w:id="0">
    <w:p w14:paraId="081A0E99" w14:textId="77777777" w:rsidR="00D1309C" w:rsidRDefault="00D1309C" w:rsidP="00912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064D1" w14:textId="77777777" w:rsidR="00912DDE" w:rsidRPr="00912DDE" w:rsidRDefault="00912DDE" w:rsidP="00912DDE">
    <w:pPr>
      <w:rPr>
        <w:rFonts w:ascii="Arial" w:hAnsi="Arial" w:cs="Arial"/>
        <w:b/>
        <w:sz w:val="18"/>
      </w:rPr>
    </w:pPr>
  </w:p>
  <w:p w14:paraId="4E689C9D" w14:textId="77777777" w:rsidR="00912DDE" w:rsidRDefault="00912DDE">
    <w:pPr>
      <w:pStyle w:val="Intestazione"/>
    </w:pPr>
  </w:p>
  <w:p w14:paraId="1E4D0216" w14:textId="77777777" w:rsidR="00912DDE" w:rsidRDefault="00DB62C7" w:rsidP="00DB62C7">
    <w:pPr>
      <w:pStyle w:val="Intestazione"/>
      <w:jc w:val="center"/>
    </w:pPr>
    <w:r>
      <w:rPr>
        <w:noProof/>
      </w:rPr>
      <w:drawing>
        <wp:inline distT="0" distB="0" distL="0" distR="0" wp14:anchorId="308333E1" wp14:editId="346A16DB">
          <wp:extent cx="5397500" cy="1066800"/>
          <wp:effectExtent l="0" t="0" r="0" b="0"/>
          <wp:docPr id="22" name="Immagine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750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73162"/>
    <w:multiLevelType w:val="hybridMultilevel"/>
    <w:tmpl w:val="54D2622C"/>
    <w:lvl w:ilvl="0" w:tplc="08B8EED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222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4B4"/>
    <w:rsid w:val="000026BC"/>
    <w:rsid w:val="00026F62"/>
    <w:rsid w:val="00033CAD"/>
    <w:rsid w:val="00037D79"/>
    <w:rsid w:val="00040AC1"/>
    <w:rsid w:val="00053372"/>
    <w:rsid w:val="00097F6A"/>
    <w:rsid w:val="000B50A5"/>
    <w:rsid w:val="000C7C9D"/>
    <w:rsid w:val="00125928"/>
    <w:rsid w:val="001C593D"/>
    <w:rsid w:val="001C6066"/>
    <w:rsid w:val="001E5422"/>
    <w:rsid w:val="001F31A0"/>
    <w:rsid w:val="001F776E"/>
    <w:rsid w:val="00205085"/>
    <w:rsid w:val="00267F62"/>
    <w:rsid w:val="002710BD"/>
    <w:rsid w:val="00296BA7"/>
    <w:rsid w:val="002C00FE"/>
    <w:rsid w:val="00305B9F"/>
    <w:rsid w:val="00396739"/>
    <w:rsid w:val="003B7222"/>
    <w:rsid w:val="00405752"/>
    <w:rsid w:val="00410B0C"/>
    <w:rsid w:val="004A59DB"/>
    <w:rsid w:val="004A71B1"/>
    <w:rsid w:val="004B77EB"/>
    <w:rsid w:val="00500463"/>
    <w:rsid w:val="0050398D"/>
    <w:rsid w:val="005134DF"/>
    <w:rsid w:val="00536246"/>
    <w:rsid w:val="005A344E"/>
    <w:rsid w:val="0062178E"/>
    <w:rsid w:val="00630A0E"/>
    <w:rsid w:val="00643072"/>
    <w:rsid w:val="00686ABD"/>
    <w:rsid w:val="006A1A5D"/>
    <w:rsid w:val="00702B6F"/>
    <w:rsid w:val="00717DC4"/>
    <w:rsid w:val="0077323E"/>
    <w:rsid w:val="007741E7"/>
    <w:rsid w:val="00780ACC"/>
    <w:rsid w:val="00824761"/>
    <w:rsid w:val="00835D52"/>
    <w:rsid w:val="0088175D"/>
    <w:rsid w:val="00912DDE"/>
    <w:rsid w:val="00923784"/>
    <w:rsid w:val="009322C7"/>
    <w:rsid w:val="009A0DBB"/>
    <w:rsid w:val="00A21246"/>
    <w:rsid w:val="00A41219"/>
    <w:rsid w:val="00A63097"/>
    <w:rsid w:val="00A95C41"/>
    <w:rsid w:val="00AE076D"/>
    <w:rsid w:val="00B32049"/>
    <w:rsid w:val="00B83FF2"/>
    <w:rsid w:val="00BD79E7"/>
    <w:rsid w:val="00BF787A"/>
    <w:rsid w:val="00C45C89"/>
    <w:rsid w:val="00CA5C8C"/>
    <w:rsid w:val="00CB0680"/>
    <w:rsid w:val="00CD4557"/>
    <w:rsid w:val="00CE1EF1"/>
    <w:rsid w:val="00CF64C9"/>
    <w:rsid w:val="00D1309C"/>
    <w:rsid w:val="00D30490"/>
    <w:rsid w:val="00D4651A"/>
    <w:rsid w:val="00D87979"/>
    <w:rsid w:val="00DA5154"/>
    <w:rsid w:val="00DB62C7"/>
    <w:rsid w:val="00DD54B4"/>
    <w:rsid w:val="00DF2511"/>
    <w:rsid w:val="00E4143D"/>
    <w:rsid w:val="00E5520F"/>
    <w:rsid w:val="00E9034C"/>
    <w:rsid w:val="00EA2F82"/>
    <w:rsid w:val="00EC79E5"/>
    <w:rsid w:val="00F3514A"/>
    <w:rsid w:val="00FD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F9998"/>
  <w15:docId w15:val="{F2C6B893-FC1C-4DFE-926A-EB8503C0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2D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DDE"/>
  </w:style>
  <w:style w:type="paragraph" w:styleId="Pidipagina">
    <w:name w:val="footer"/>
    <w:basedOn w:val="Normale"/>
    <w:link w:val="PidipaginaCarattere"/>
    <w:uiPriority w:val="99"/>
    <w:unhideWhenUsed/>
    <w:rsid w:val="00912D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D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2DDE"/>
    <w:rPr>
      <w:rFonts w:ascii="Tahoma" w:hAnsi="Tahoma" w:cs="Tahoma"/>
      <w:sz w:val="16"/>
      <w:szCs w:val="16"/>
    </w:rPr>
  </w:style>
  <w:style w:type="character" w:customStyle="1" w:styleId="hps">
    <w:name w:val="hps"/>
    <w:basedOn w:val="Carpredefinitoparagrafo"/>
    <w:rsid w:val="00BF787A"/>
  </w:style>
  <w:style w:type="paragraph" w:styleId="Paragrafoelenco">
    <w:name w:val="List Paragraph"/>
    <w:basedOn w:val="Normale"/>
    <w:uiPriority w:val="34"/>
    <w:qFormat/>
    <w:rsid w:val="00630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7844-8CF3-4481-9E0C-6F07A6E4E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2018-10-05T15:23:00Z</cp:lastPrinted>
  <dcterms:created xsi:type="dcterms:W3CDTF">2016-01-15T16:15:00Z</dcterms:created>
  <dcterms:modified xsi:type="dcterms:W3CDTF">2018-10-05T15:23:00Z</dcterms:modified>
</cp:coreProperties>
</file>